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F415A9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EB2C6C">
        <w:rPr>
          <w:b/>
          <w:color w:val="000000"/>
          <w:sz w:val="28"/>
          <w:lang w:val="ru-RU"/>
        </w:rPr>
        <w:t>4</w:t>
      </w:r>
      <w:r w:rsidR="005E71BF">
        <w:rPr>
          <w:b/>
          <w:color w:val="000000"/>
          <w:sz w:val="28"/>
          <w:lang w:val="ru-RU"/>
        </w:rPr>
        <w:t>9</w:t>
      </w:r>
      <w:r w:rsidR="007B5580">
        <w:rPr>
          <w:b/>
          <w:color w:val="000000"/>
          <w:sz w:val="28"/>
          <w:lang w:val="ru-RU"/>
        </w:rPr>
        <w:t xml:space="preserve">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5E71BF">
        <w:rPr>
          <w:b/>
          <w:color w:val="000000"/>
          <w:sz w:val="28"/>
          <w:lang w:val="ru-RU"/>
        </w:rPr>
        <w:t>15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422B13">
        <w:rPr>
          <w:b/>
          <w:color w:val="000000"/>
          <w:sz w:val="28"/>
          <w:lang w:val="ru-RU"/>
        </w:rPr>
        <w:t>дека</w:t>
      </w:r>
      <w:r w:rsidR="004018B9">
        <w:rPr>
          <w:b/>
          <w:color w:val="000000"/>
          <w:sz w:val="28"/>
          <w:lang w:val="ru-RU"/>
        </w:rPr>
        <w:t>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11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824F9C">
        <w:rPr>
          <w:rFonts w:ascii="Times New Roman" w:hAnsi="Times New Roman"/>
          <w:color w:val="000000"/>
          <w:kern w:val="36"/>
          <w:lang w:val="ru-RU" w:eastAsia="ru-RU"/>
        </w:rPr>
        <w:t>дека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0C68BD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b/>
          <w:color w:val="000000"/>
          <w:kern w:val="36"/>
          <w:lang w:val="ru-RU" w:eastAsia="ru-RU"/>
        </w:rPr>
        <w:t>13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422B13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36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0C68BD">
        <w:rPr>
          <w:rFonts w:ascii="Times New Roman" w:hAnsi="Times New Roman"/>
          <w:color w:val="000000"/>
          <w:kern w:val="36"/>
          <w:lang w:val="ru-RU" w:eastAsia="ru-RU"/>
        </w:rPr>
        <w:t>16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 xml:space="preserve">91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C68BD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79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422B13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35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71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C42614" w:rsidRDefault="00C42614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0C68BD" w:rsidRDefault="000C68BD" w:rsidP="000C68BD">
      <w:pPr>
        <w:pStyle w:val="a7"/>
        <w:jc w:val="right"/>
        <w:rPr>
          <w:i/>
          <w:sz w:val="20"/>
          <w:u w:val="single"/>
        </w:rPr>
      </w:pPr>
      <w:r>
        <w:rPr>
          <w:i/>
          <w:sz w:val="20"/>
        </w:rPr>
        <w:t xml:space="preserve">                   </w:t>
      </w:r>
    </w:p>
    <w:p w:rsidR="005E71BF" w:rsidRPr="004C6D57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  <w:r>
        <w:rPr>
          <w:rStyle w:val="ab"/>
          <w:color w:val="000000"/>
          <w:sz w:val="28"/>
          <w:szCs w:val="28"/>
          <w:lang w:val="ru-RU"/>
        </w:rPr>
        <w:t>Меры</w:t>
      </w:r>
      <w:r w:rsidRPr="004C6D57">
        <w:rPr>
          <w:rStyle w:val="ab"/>
          <w:color w:val="000000"/>
          <w:sz w:val="28"/>
          <w:szCs w:val="28"/>
          <w:lang w:val="ru-RU"/>
        </w:rPr>
        <w:t xml:space="preserve"> пожарной безопасности при устройстве и проведении новогодней елки</w:t>
      </w:r>
      <w:r>
        <w:rPr>
          <w:rStyle w:val="ab"/>
          <w:color w:val="000000"/>
          <w:sz w:val="28"/>
          <w:szCs w:val="28"/>
          <w:lang w:val="ru-RU"/>
        </w:rPr>
        <w:t>.</w:t>
      </w:r>
    </w:p>
    <w:p w:rsidR="005E71BF" w:rsidRPr="004C6D57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rStyle w:val="ad"/>
          <w:rFonts w:ascii="Tahoma" w:hAnsi="Tahoma" w:cs="Tahoma"/>
          <w:color w:val="000000"/>
          <w:sz w:val="20"/>
          <w:szCs w:val="20"/>
        </w:rPr>
        <w:t> </w:t>
      </w:r>
    </w:p>
    <w:p w:rsidR="005E71BF" w:rsidRPr="004C6D57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4C6D57">
        <w:rPr>
          <w:rStyle w:val="ad"/>
          <w:rFonts w:ascii="Tahoma" w:hAnsi="Tahoma" w:cs="Tahoma"/>
          <w:color w:val="000000"/>
          <w:sz w:val="20"/>
          <w:szCs w:val="20"/>
          <w:lang w:val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4C6D57">
        <w:rPr>
          <w:rStyle w:val="ad"/>
          <w:rFonts w:ascii="Tahoma" w:hAnsi="Tahoma" w:cs="Tahoma"/>
          <w:color w:val="000000"/>
          <w:sz w:val="20"/>
          <w:szCs w:val="20"/>
          <w:lang w:val="ru-RU"/>
        </w:rPr>
        <w:t>,</w:t>
      </w:r>
      <w:proofErr w:type="gramEnd"/>
      <w:r w:rsidRPr="004C6D57">
        <w:rPr>
          <w:rStyle w:val="ad"/>
          <w:rFonts w:ascii="Tahoma" w:hAnsi="Tahoma" w:cs="Tahoma"/>
          <w:color w:val="000000"/>
          <w:sz w:val="20"/>
          <w:szCs w:val="20"/>
          <w:lang w:val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5E71BF" w:rsidRPr="004C6D57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rStyle w:val="ab"/>
          <w:color w:val="000000"/>
          <w:sz w:val="20"/>
          <w:szCs w:val="20"/>
        </w:rPr>
        <w:t> 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b"/>
          <w:color w:val="000000"/>
          <w:lang w:val="ru-RU"/>
        </w:rPr>
        <w:t>Чтобы новогодние праздники не омрачились бедой, запомните эти простые правила:</w:t>
      </w:r>
      <w:r w:rsidRPr="008B2869">
        <w:rPr>
          <w:rStyle w:val="apple-converted-space"/>
          <w:b/>
          <w:bCs/>
          <w:color w:val="000000"/>
        </w:rPr>
        <w:t> </w:t>
      </w:r>
      <w:r w:rsidRPr="008B2869">
        <w:rPr>
          <w:color w:val="000000"/>
          <w:lang w:val="ru-RU"/>
        </w:rPr>
        <w:t>1. Ёлка устанавливается на устойчивой подставке, подальше от отопительных приборов.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b"/>
          <w:color w:val="000000"/>
          <w:u w:val="single"/>
          <w:lang w:val="ru-RU"/>
        </w:rPr>
        <w:t>Запрещается: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украшать елку свечами, ватой, игрушками из бумаги и целлулоида;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одевать маскарадные костюмы из марли, ваты, бумаги и картона;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зажигать на елке и возле нее свечи, бенгальские огни, пользоваться хлопушками.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b"/>
          <w:color w:val="000000"/>
          <w:lang w:val="ru-RU"/>
        </w:rPr>
        <w:t>При установке елок необходимо учитывать следующие основные требования: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3. Помещение, где находится елка, должно быть обеспечено первичными средствами пожаротушения (огнетушители, песок, кошма).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 xml:space="preserve">4.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8B2869">
        <w:rPr>
          <w:color w:val="000000"/>
          <w:lang w:val="ru-RU"/>
        </w:rPr>
        <w:t>электрогирлянды</w:t>
      </w:r>
      <w:proofErr w:type="spellEnd"/>
      <w:r w:rsidRPr="008B2869">
        <w:rPr>
          <w:color w:val="000000"/>
          <w:lang w:val="ru-RU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8B2869">
        <w:rPr>
          <w:color w:val="000000"/>
          <w:lang w:val="ru-RU"/>
        </w:rPr>
        <w:t xml:space="preserve"> В</w:t>
      </w:r>
      <w:proofErr w:type="gramEnd"/>
      <w:r w:rsidRPr="008B2869">
        <w:rPr>
          <w:color w:val="000000"/>
          <w:lang w:val="ru-RU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8B2869">
        <w:rPr>
          <w:color w:val="000000"/>
          <w:lang w:val="ru-RU"/>
        </w:rPr>
        <w:t>Росстандарта</w:t>
      </w:r>
      <w:proofErr w:type="spellEnd"/>
      <w:r w:rsidRPr="008B2869">
        <w:rPr>
          <w:color w:val="000000"/>
          <w:lang w:val="ru-RU"/>
        </w:rPr>
        <w:t xml:space="preserve"> и знак Сертификации пожарной безопасности.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lastRenderedPageBreak/>
        <w:t>5. При отсутствии в помещении электрического освещения мероприятия у елки должны проводиться только в светлое время суток.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b"/>
          <w:color w:val="000000"/>
          <w:lang w:val="ru-RU"/>
        </w:rPr>
        <w:t>При проведении новогодней елки запрещается: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одевать детей в костюмы из легкогорючих материалов;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проводить огневые, покрасочные и другие пожароопасные работы;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использовать ставни на окнах для затемнения помещений;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уменьшать ширину проходов между рядами стульев и устанавливать в проходах дополнительные места;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  <w:lang w:val="ru-RU"/>
        </w:rPr>
        <w:t>- полностью гасить свет в помещении во время спектаклей и представлений.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b"/>
          <w:color w:val="000000"/>
          <w:lang w:val="ru-RU"/>
        </w:rPr>
        <w:t>Категорически запрещается пользоваться пиротехническими изделиями!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d"/>
          <w:color w:val="000000"/>
          <w:lang w:val="ru-RU"/>
        </w:rPr>
        <w:t>Для того</w:t>
      </w:r>
      <w:proofErr w:type="gramStart"/>
      <w:r w:rsidRPr="008B2869">
        <w:rPr>
          <w:rStyle w:val="ad"/>
          <w:color w:val="000000"/>
          <w:lang w:val="ru-RU"/>
        </w:rPr>
        <w:t>,</w:t>
      </w:r>
      <w:proofErr w:type="gramEnd"/>
      <w:r w:rsidRPr="008B2869">
        <w:rPr>
          <w:rStyle w:val="ad"/>
          <w:color w:val="000000"/>
          <w:lang w:val="ru-RU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rStyle w:val="ad"/>
          <w:color w:val="000000"/>
          <w:lang w:val="ru-RU"/>
        </w:rPr>
        <w:t>Напоминаем, что в случае возникновения пожара в службу спасения можно позвонить по мобильному телефону –</w:t>
      </w:r>
      <w:r w:rsidRPr="008B2869">
        <w:rPr>
          <w:rStyle w:val="apple-converted-space"/>
          <w:i/>
          <w:iCs/>
          <w:color w:val="000000"/>
        </w:rPr>
        <w:t> </w:t>
      </w:r>
      <w:r w:rsidRPr="008B2869">
        <w:rPr>
          <w:rStyle w:val="ab"/>
          <w:color w:val="000000"/>
          <w:lang w:val="ru-RU"/>
        </w:rPr>
        <w:t>112.</w:t>
      </w:r>
    </w:p>
    <w:p w:rsidR="005E71BF" w:rsidRPr="008B2869" w:rsidRDefault="005E71BF" w:rsidP="005E71B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lang w:val="ru-RU"/>
        </w:rPr>
      </w:pPr>
      <w:r w:rsidRPr="008B2869">
        <w:rPr>
          <w:color w:val="000000"/>
        </w:rPr>
        <w:t> </w:t>
      </w:r>
    </w:p>
    <w:p w:rsidR="005E71BF" w:rsidRP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E71BF">
        <w:rPr>
          <w:rFonts w:ascii="Times New Roman" w:hAnsi="Times New Roman"/>
          <w:b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5E71BF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</w:p>
    <w:p w:rsidR="005E71BF" w:rsidRPr="005E71BF" w:rsidRDefault="005E71BF" w:rsidP="005E71BF">
      <w:pPr>
        <w:shd w:val="clear" w:color="auto" w:fill="FFFFFF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5E71BF"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5E71BF" w:rsidRPr="005E71BF" w:rsidRDefault="005E71BF" w:rsidP="005E71BF">
      <w:pPr>
        <w:shd w:val="clear" w:color="auto" w:fill="FFFFFF"/>
        <w:rPr>
          <w:rFonts w:ascii="Times New Roman" w:hAnsi="Times New Roman"/>
          <w:b/>
          <w:sz w:val="28"/>
          <w:lang w:val="ru-RU"/>
        </w:rPr>
      </w:pP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center"/>
        <w:rPr>
          <w:color w:val="000000"/>
          <w:sz w:val="32"/>
          <w:szCs w:val="32"/>
          <w:lang w:val="ru-RU"/>
        </w:rPr>
      </w:pPr>
      <w:r>
        <w:rPr>
          <w:rStyle w:val="ab"/>
          <w:color w:val="000000"/>
          <w:sz w:val="32"/>
          <w:szCs w:val="32"/>
          <w:lang w:val="ru-RU"/>
        </w:rPr>
        <w:t>Ш</w:t>
      </w:r>
      <w:r w:rsidRPr="007B6BF6">
        <w:rPr>
          <w:rStyle w:val="ab"/>
          <w:color w:val="000000"/>
          <w:sz w:val="32"/>
          <w:szCs w:val="32"/>
          <w:lang w:val="ru-RU"/>
        </w:rPr>
        <w:t>кольнику о действиях в случае возникновения пожара</w:t>
      </w:r>
      <w:r>
        <w:rPr>
          <w:rStyle w:val="ab"/>
          <w:color w:val="000000"/>
          <w:sz w:val="32"/>
          <w:szCs w:val="32"/>
          <w:lang w:val="ru-RU"/>
        </w:rPr>
        <w:t>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</w:rPr>
        <w:t> 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rStyle w:val="ab"/>
          <w:color w:val="000000"/>
          <w:lang w:val="ru-RU"/>
        </w:rPr>
        <w:t>1.</w:t>
      </w:r>
      <w:r w:rsidRPr="007B6BF6">
        <w:rPr>
          <w:rStyle w:val="apple-converted-space"/>
          <w:b/>
          <w:bCs/>
          <w:color w:val="000000"/>
        </w:rPr>
        <w:t> </w:t>
      </w:r>
      <w:r w:rsidRPr="007B6BF6">
        <w:rPr>
          <w:color w:val="000000"/>
          <w:lang w:val="ru-RU"/>
        </w:rPr>
        <w:t>При обнаружении признаков пожара сообщите об этом взрослым, позвоните по телефону 01 и назовите адрес, где вы находитесь.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2. Если Вы один в здании, и с Вами находятся младшие дети, успокойте их и выведите из здания.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3. При перемещении закройте двери в помещение, в котором произошел пожар.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4. Если комнаты задымлены, передвигайтесь к выходу ползком по полу, внизу над полом остается кислород.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6. Если есть возможность, заполните ванну водой найдите трубку чтобы дышать и погрузитесь в воду.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7. В задымленном помещении дышите через ткань намоченную водой.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:rsidR="005E71BF" w:rsidRPr="007B6BF6" w:rsidRDefault="005E71BF" w:rsidP="005E71BF">
      <w:pPr>
        <w:pStyle w:val="a3"/>
        <w:shd w:val="clear" w:color="auto" w:fill="FFFFFF"/>
        <w:spacing w:before="150" w:beforeAutospacing="0" w:after="150" w:afterAutospacing="0"/>
        <w:ind w:firstLine="375"/>
        <w:jc w:val="both"/>
        <w:rPr>
          <w:color w:val="000000"/>
          <w:lang w:val="ru-RU"/>
        </w:rPr>
      </w:pPr>
      <w:r w:rsidRPr="007B6BF6">
        <w:rPr>
          <w:color w:val="000000"/>
          <w:lang w:val="ru-RU"/>
        </w:rPr>
        <w:t>10. В задымленном помещении реагируйте на окрики, не пугайтесь, дайте себя обнаружить и спасти.</w:t>
      </w:r>
    </w:p>
    <w:p w:rsidR="005E71BF" w:rsidRP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Старший инспектор</w:t>
      </w:r>
      <w:r w:rsidRPr="005E71BF">
        <w:rPr>
          <w:rFonts w:ascii="Times New Roman" w:hAnsi="Times New Roman"/>
          <w:b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  <w:r w:rsidRPr="005E71B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5E71BF">
        <w:rPr>
          <w:rFonts w:ascii="Times New Roman" w:hAnsi="Times New Roman"/>
          <w:b/>
          <w:sz w:val="20"/>
          <w:szCs w:val="20"/>
          <w:lang w:val="ru-RU"/>
        </w:rPr>
        <w:t>Казеев</w:t>
      </w:r>
      <w:proofErr w:type="spellEnd"/>
      <w:r w:rsidRPr="005E71BF">
        <w:rPr>
          <w:rFonts w:ascii="Times New Roman" w:hAnsi="Times New Roman"/>
          <w:b/>
          <w:sz w:val="20"/>
          <w:szCs w:val="20"/>
          <w:lang w:val="ru-RU"/>
        </w:rPr>
        <w:t xml:space="preserve"> Д.А.</w:t>
      </w:r>
    </w:p>
    <w:p w:rsidR="005E71BF" w:rsidRP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E71BF" w:rsidRPr="005E71BF" w:rsidRDefault="005E71BF" w:rsidP="005E71BF">
      <w:pPr>
        <w:jc w:val="right"/>
        <w:rPr>
          <w:rFonts w:ascii="Times New Roman" w:hAnsi="Times New Roman"/>
          <w:b/>
          <w:lang w:val="ru-RU"/>
        </w:rPr>
      </w:pPr>
    </w:p>
    <w:p w:rsidR="005E71BF" w:rsidRPr="005E71BF" w:rsidRDefault="005E71BF" w:rsidP="005E71B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color w:val="000000"/>
          <w:kern w:val="36"/>
          <w:sz w:val="18"/>
          <w:szCs w:val="18"/>
          <w:lang w:val="ru-RU"/>
        </w:rPr>
      </w:pPr>
      <w:proofErr w:type="gramStart"/>
      <w:r w:rsidRPr="005E71BF">
        <w:rPr>
          <w:rFonts w:ascii="Times New Roman" w:hAnsi="Times New Roman"/>
          <w:b/>
          <w:color w:val="000000"/>
          <w:kern w:val="36"/>
          <w:sz w:val="36"/>
          <w:szCs w:val="36"/>
          <w:lang w:val="ru-RU"/>
        </w:rPr>
        <w:lastRenderedPageBreak/>
        <w:t>Правила пожарной безопасности при эксплуатации печей</w:t>
      </w:r>
      <w:r w:rsidRPr="005E71BF">
        <w:rPr>
          <w:rFonts w:ascii="Times New Roman" w:hAnsi="Times New Roman"/>
          <w:color w:val="000000"/>
          <w:kern w:val="36"/>
          <w:sz w:val="18"/>
          <w:szCs w:val="18"/>
          <w:lang w:val="ru-RU"/>
        </w:rPr>
        <w:t>.</w:t>
      </w:r>
      <w:proofErr w:type="gramEnd"/>
    </w:p>
    <w:p w:rsidR="005E71BF" w:rsidRPr="005E71BF" w:rsidRDefault="005E71BF" w:rsidP="005E71BF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5E71BF">
        <w:rPr>
          <w:rFonts w:ascii="Times New Roman" w:hAnsi="Times New Roman"/>
          <w:color w:val="000000"/>
          <w:lang w:val="ru-RU"/>
        </w:rPr>
        <w:t>Правила пожарной безопасности при эксплуатации печей.</w:t>
      </w:r>
      <w:proofErr w:type="gramEnd"/>
      <w:r w:rsidRPr="005E71BF">
        <w:rPr>
          <w:rFonts w:ascii="Times New Roman" w:hAnsi="Times New Roman"/>
          <w:color w:val="000000"/>
          <w:lang w:val="ru-RU"/>
        </w:rPr>
        <w:t xml:space="preserve"> 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5E71BF">
        <w:rPr>
          <w:rFonts w:ascii="Times New Roman" w:hAnsi="Times New Roman"/>
          <w:color w:val="000000"/>
          <w:lang w:val="ru-RU"/>
        </w:rPr>
        <w:t>ваших</w:t>
      </w:r>
      <w:proofErr w:type="gramEnd"/>
      <w:r w:rsidRPr="005E71BF">
        <w:rPr>
          <w:rFonts w:ascii="Times New Roman" w:hAnsi="Times New Roman"/>
          <w:color w:val="000000"/>
          <w:lang w:val="ru-RU"/>
        </w:rPr>
        <w:t xml:space="preserve"> близких и самого дома. А ведь для этого нужно совсем не 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 1. 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5E71BF">
        <w:rPr>
          <w:rFonts w:ascii="Times New Roman" w:hAnsi="Times New Roman"/>
          <w:color w:val="000000"/>
          <w:lang w:val="ru-RU"/>
        </w:rPr>
        <w:t>глиняным раствором</w:t>
      </w:r>
      <w:proofErr w:type="gramEnd"/>
      <w:r w:rsidRPr="005E71BF">
        <w:rPr>
          <w:rFonts w:ascii="Times New Roman" w:hAnsi="Times New Roman"/>
          <w:color w:val="000000"/>
          <w:lang w:val="ru-RU"/>
        </w:rPr>
        <w:t xml:space="preserve">, чтобы можно было заметить появившиеся черные, от проходящего через них дыма, трещины. 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 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 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5E71BF">
        <w:rPr>
          <w:rFonts w:ascii="Times New Roman" w:hAnsi="Times New Roman"/>
          <w:color w:val="000000"/>
          <w:lang w:val="ru-RU"/>
        </w:rPr>
        <w:t>отступку</w:t>
      </w:r>
      <w:proofErr w:type="spellEnd"/>
      <w:r w:rsidRPr="005E71BF">
        <w:rPr>
          <w:rFonts w:ascii="Times New Roman" w:hAnsi="Times New Roman"/>
          <w:color w:val="000000"/>
          <w:lang w:val="ru-RU"/>
        </w:rPr>
        <w:t>. На деревянном полу перед топкой необходимо прибить металлический (</w:t>
      </w:r>
      <w:proofErr w:type="spellStart"/>
      <w:r w:rsidRPr="005E71BF">
        <w:rPr>
          <w:rFonts w:ascii="Times New Roman" w:hAnsi="Times New Roman"/>
          <w:color w:val="000000"/>
          <w:lang w:val="ru-RU"/>
        </w:rPr>
        <w:t>предтопочный</w:t>
      </w:r>
      <w:proofErr w:type="spellEnd"/>
      <w:r w:rsidRPr="005E71BF">
        <w:rPr>
          <w:rFonts w:ascii="Times New Roman" w:hAnsi="Times New Roman"/>
          <w:color w:val="000000"/>
          <w:lang w:val="ru-RU"/>
        </w:rPr>
        <w:t>) лист размерами не менее 50 на 70 см. 4. Чрезвычайно опасно оставлять топящиеся печи без присмотра или на попечение малолетних детей. 5. Нельзя применять для розжига печей горючие и легковоспламеняющиеся жидкости. 6. Чтобы не допускать перекала печи рекомендуется топить ее два - три раза в день и не более чем по полтора часа. 7. За три часа до отхода ко сну топка печи должна быть прекращена. 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 9. Не следует сушить на печи вещи и сырые дрова. 10. Следите за тем, чтобы мебель, занавески находились не менее чем в полуметре от массива топящейся печи. 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 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5E71BF" w:rsidRP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Инспектор</w:t>
      </w:r>
      <w:r w:rsidRPr="005E71BF">
        <w:rPr>
          <w:rFonts w:ascii="Times New Roman" w:hAnsi="Times New Roman"/>
          <w:b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</w:p>
    <w:p w:rsidR="005E71BF" w:rsidRPr="005E71BF" w:rsidRDefault="005E71BF" w:rsidP="005E71BF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5E71BF" w:rsidRPr="005E71BF" w:rsidRDefault="005E71BF" w:rsidP="005E71BF">
      <w:pPr>
        <w:shd w:val="clear" w:color="auto" w:fill="FFFFFF"/>
        <w:rPr>
          <w:rFonts w:ascii="Times New Roman" w:hAnsi="Times New Roman"/>
          <w:b/>
          <w:color w:val="000000"/>
          <w:lang w:val="ru-RU"/>
        </w:rPr>
      </w:pPr>
    </w:p>
    <w:p w:rsidR="005E71BF" w:rsidRPr="00066048" w:rsidRDefault="005E71BF" w:rsidP="005E71BF">
      <w:pPr>
        <w:pStyle w:val="a7"/>
        <w:jc w:val="center"/>
        <w:rPr>
          <w:sz w:val="28"/>
          <w:szCs w:val="28"/>
        </w:rPr>
      </w:pPr>
      <w:r w:rsidRPr="00066048">
        <w:rPr>
          <w:b/>
          <w:sz w:val="28"/>
          <w:szCs w:val="28"/>
        </w:rPr>
        <w:t>Общие рекомендации по запуску фейерверочных изделий.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1. Заранее определить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2. Размер площадки должен 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 xml:space="preserve">3.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</w:t>
      </w:r>
      <w:r w:rsidRPr="00066048">
        <w:rPr>
          <w:szCs w:val="24"/>
        </w:rPr>
        <w:lastRenderedPageBreak/>
        <w:t>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4. 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 образом, чтобы зрители наблюдали эффекты под углом не более 45 градусов. Оптимальное расстояние составляет не менее 30-50 м.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5.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6.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 xml:space="preserve">7. При </w:t>
      </w:r>
      <w:proofErr w:type="spellStart"/>
      <w:r w:rsidRPr="00066048">
        <w:rPr>
          <w:szCs w:val="24"/>
        </w:rPr>
        <w:t>поджиге</w:t>
      </w:r>
      <w:proofErr w:type="spellEnd"/>
      <w:r w:rsidRPr="00066048">
        <w:rPr>
          <w:szCs w:val="24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8.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 xml:space="preserve">9.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</w:t>
      </w:r>
      <w:proofErr w:type="spellStart"/>
      <w:r w:rsidRPr="00066048">
        <w:rPr>
          <w:szCs w:val="24"/>
        </w:rPr>
        <w:t>поджигом</w:t>
      </w:r>
      <w:proofErr w:type="spellEnd"/>
      <w:r w:rsidRPr="00066048">
        <w:rPr>
          <w:szCs w:val="24"/>
        </w:rPr>
        <w:t xml:space="preserve"> огнепроводного шнура. Запомните, что перед тем, как поджечь фитиль, вы должны точно знать, где у изделия верх и откуда будут вылетать горящие элементы. 10.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11. 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>12.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 xml:space="preserve">13. Устроитель фейерверка должен после </w:t>
      </w:r>
      <w:proofErr w:type="spellStart"/>
      <w:r w:rsidRPr="00066048">
        <w:rPr>
          <w:szCs w:val="24"/>
        </w:rPr>
        <w:t>поджига</w:t>
      </w:r>
      <w:proofErr w:type="spellEnd"/>
      <w:r w:rsidRPr="00066048">
        <w:rPr>
          <w:szCs w:val="24"/>
        </w:rPr>
        <w:t xml:space="preserve"> изделий немедленно удалиться из опасной зоны, повернувшись спиной к работающим изделиям.</w:t>
      </w:r>
    </w:p>
    <w:p w:rsidR="005E71BF" w:rsidRPr="00066048" w:rsidRDefault="005E71BF" w:rsidP="005E71BF">
      <w:pPr>
        <w:pStyle w:val="a7"/>
        <w:rPr>
          <w:szCs w:val="24"/>
        </w:rPr>
      </w:pPr>
      <w:r w:rsidRPr="00066048">
        <w:rPr>
          <w:szCs w:val="24"/>
        </w:rPr>
        <w:t xml:space="preserve">14.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</w:t>
      </w:r>
      <w:proofErr w:type="spellStart"/>
      <w:r w:rsidRPr="00066048">
        <w:rPr>
          <w:szCs w:val="24"/>
        </w:rPr>
        <w:t>дооснащать</w:t>
      </w:r>
      <w:proofErr w:type="spellEnd"/>
      <w:r w:rsidRPr="00066048">
        <w:rPr>
          <w:szCs w:val="24"/>
        </w:rPr>
        <w:t xml:space="preserve"> или каким-либо другим образом изменять конструкцию пиротехнического изделия до и после его использования.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Помимо </w:t>
      </w:r>
      <w:proofErr w:type="gramStart"/>
      <w:r w:rsidRPr="00066048">
        <w:rPr>
          <w:szCs w:val="24"/>
        </w:rPr>
        <w:t>вышеперечисленного</w:t>
      </w:r>
      <w:proofErr w:type="gramEnd"/>
      <w:r w:rsidRPr="00066048">
        <w:rPr>
          <w:szCs w:val="24"/>
        </w:rPr>
        <w:t xml:space="preserve"> при обращении с пиротехническими изделиями ЗАПРЕЩАЕТСЯ: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использовать пиротехнические изделия лицам, моложе 18 лет без присутствия взрослых.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курить рядом с пиротехническим изделием.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механически воздействовать на пиротехническое изделие.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бросать, ударять пиротехническое изделие.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бросать пиротехнические изделия в огонь.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применять пиротехнические изделия в помещении (исключение: бенгальские огни, тортовые свечи, хлопушки)</w:t>
      </w:r>
      <w:proofErr w:type="gramStart"/>
      <w:r w:rsidRPr="00066048">
        <w:rPr>
          <w:szCs w:val="24"/>
        </w:rPr>
        <w:t>.</w:t>
      </w:r>
      <w:proofErr w:type="gramEnd"/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</w:t>
      </w:r>
      <w:proofErr w:type="gramStart"/>
      <w:r w:rsidRPr="00066048">
        <w:rPr>
          <w:szCs w:val="24"/>
        </w:rPr>
        <w:t>д</w:t>
      </w:r>
      <w:proofErr w:type="gramEnd"/>
      <w:r w:rsidRPr="00066048">
        <w:rPr>
          <w:szCs w:val="24"/>
        </w:rPr>
        <w:t xml:space="preserve">ержать работающее пиротехническое изделие в руках (кроме бенгальских огней, тортовых свечей, хлопушек).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использовать пиротехнические изделия вблизи зданий, сооружений деревьев, линий электропередач и на расстоянии меньшем радиуса опасной зоны.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находиться по отношению к работающему пиротехническому изделию на меньшем расстоянии, чем безопасное расстояние.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lastRenderedPageBreak/>
        <w:sym w:font="Symbol" w:char="F0B7"/>
      </w:r>
      <w:r w:rsidRPr="00066048">
        <w:rPr>
          <w:szCs w:val="24"/>
        </w:rPr>
        <w:t xml:space="preserve"> наклоняться над пиротехническим изделием во время поджога фитиля, а так же во время работы пиротехнического изделия.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в случае затухания фитиля поджигать его ещё раз.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подходить и наклоняться над отработавшим пиротехническим изделием в течение минимум 5 минут после окончания его работы. Место проведения фейерверка.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>В соответствии с п.13 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ЗАПРЕЩАЕТСЯ: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 а) в помещениях, зданиях и сооружениях любого функционального назначения;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в) на крышах, балконах, лоджиях и выступающих частях фасадов зданий (сооружений);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г) на сценических площадках, стадионах и иных спортивных сооружениях; </w:t>
      </w:r>
    </w:p>
    <w:p w:rsidR="005E71BF" w:rsidRPr="00066048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д) во время проведения митингов, демонстраций, шествий и пикетирования; </w:t>
      </w:r>
    </w:p>
    <w:p w:rsidR="005E71BF" w:rsidRDefault="005E71BF" w:rsidP="005E71BF">
      <w:pPr>
        <w:pStyle w:val="a7"/>
        <w:ind w:firstLine="709"/>
        <w:rPr>
          <w:szCs w:val="24"/>
        </w:rPr>
      </w:pPr>
      <w:r w:rsidRPr="00066048">
        <w:rPr>
          <w:szCs w:val="24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5E71BF" w:rsidRDefault="005E71BF" w:rsidP="005E71BF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Инспектор 28 ОНПР по ПМР                                                                                                                                                                               </w:t>
      </w: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Казаринов П.В.</w:t>
      </w:r>
      <w:r w:rsidRPr="00BC16E9">
        <w:rPr>
          <w:sz w:val="16"/>
          <w:szCs w:val="16"/>
          <w:lang w:val="ru-RU"/>
        </w:rPr>
        <w:t xml:space="preserve"> </w:t>
      </w: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DF0508" w:rsidRDefault="00DF0508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4188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A9" w:rsidRDefault="00F415A9" w:rsidP="00EB2C6C">
      <w:r>
        <w:separator/>
      </w:r>
    </w:p>
  </w:endnote>
  <w:endnote w:type="continuationSeparator" w:id="0">
    <w:p w:rsidR="00F415A9" w:rsidRDefault="00F415A9" w:rsidP="00E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A9" w:rsidRDefault="00F415A9" w:rsidP="00EB2C6C">
      <w:r>
        <w:separator/>
      </w:r>
    </w:p>
  </w:footnote>
  <w:footnote w:type="continuationSeparator" w:id="0">
    <w:p w:rsidR="00F415A9" w:rsidRDefault="00F415A9" w:rsidP="00EB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6688C"/>
    <w:multiLevelType w:val="multilevel"/>
    <w:tmpl w:val="15A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E5172"/>
    <w:multiLevelType w:val="multilevel"/>
    <w:tmpl w:val="8A3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F7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434F7"/>
    <w:multiLevelType w:val="multilevel"/>
    <w:tmpl w:val="42A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13410"/>
    <w:multiLevelType w:val="multilevel"/>
    <w:tmpl w:val="2B7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2"/>
    <w:lvlOverride w:ilvl="0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3"/>
  </w:num>
  <w:num w:numId="16">
    <w:abstractNumId w:val="18"/>
  </w:num>
  <w:num w:numId="17">
    <w:abstractNumId w:val="19"/>
  </w:num>
  <w:num w:numId="18">
    <w:abstractNumId w:val="21"/>
  </w:num>
  <w:num w:numId="19">
    <w:abstractNumId w:val="12"/>
  </w:num>
  <w:num w:numId="20">
    <w:abstractNumId w:val="13"/>
  </w:num>
  <w:num w:numId="21">
    <w:abstractNumId w:val="15"/>
  </w:num>
  <w:num w:numId="22">
    <w:abstractNumId w:val="30"/>
  </w:num>
  <w:num w:numId="23">
    <w:abstractNumId w:val="11"/>
  </w:num>
  <w:num w:numId="24">
    <w:abstractNumId w:val="2"/>
  </w:num>
  <w:num w:numId="25">
    <w:abstractNumId w:val="31"/>
  </w:num>
  <w:num w:numId="26">
    <w:abstractNumId w:val="22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26"/>
  </w:num>
  <w:num w:numId="32">
    <w:abstractNumId w:val="4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04B5E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91692"/>
    <w:rsid w:val="000A1FB1"/>
    <w:rsid w:val="000A7280"/>
    <w:rsid w:val="000B0393"/>
    <w:rsid w:val="000B18B9"/>
    <w:rsid w:val="000B26F9"/>
    <w:rsid w:val="000B2754"/>
    <w:rsid w:val="000C2CFB"/>
    <w:rsid w:val="000C68BD"/>
    <w:rsid w:val="000D2C0F"/>
    <w:rsid w:val="000E0C42"/>
    <w:rsid w:val="000F1B2C"/>
    <w:rsid w:val="000F6A0E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C3030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0E9C"/>
    <w:rsid w:val="00413144"/>
    <w:rsid w:val="00422B13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0662"/>
    <w:rsid w:val="004D164A"/>
    <w:rsid w:val="004E094E"/>
    <w:rsid w:val="004E26AD"/>
    <w:rsid w:val="004F16A2"/>
    <w:rsid w:val="004F22BC"/>
    <w:rsid w:val="004F2477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E71BF"/>
    <w:rsid w:val="005F2E7D"/>
    <w:rsid w:val="005F542A"/>
    <w:rsid w:val="005F7E95"/>
    <w:rsid w:val="006017B9"/>
    <w:rsid w:val="00603C82"/>
    <w:rsid w:val="00604FD8"/>
    <w:rsid w:val="00605723"/>
    <w:rsid w:val="00623D8A"/>
    <w:rsid w:val="0062761A"/>
    <w:rsid w:val="0063003A"/>
    <w:rsid w:val="006374B7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D25F0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17B"/>
    <w:rsid w:val="00814485"/>
    <w:rsid w:val="008178D4"/>
    <w:rsid w:val="00821B4E"/>
    <w:rsid w:val="00822151"/>
    <w:rsid w:val="00824F9C"/>
    <w:rsid w:val="0082658E"/>
    <w:rsid w:val="00831F7D"/>
    <w:rsid w:val="00836D97"/>
    <w:rsid w:val="00841382"/>
    <w:rsid w:val="00842906"/>
    <w:rsid w:val="0084380A"/>
    <w:rsid w:val="0084392F"/>
    <w:rsid w:val="00856E99"/>
    <w:rsid w:val="008577CC"/>
    <w:rsid w:val="008610DD"/>
    <w:rsid w:val="00861547"/>
    <w:rsid w:val="00872531"/>
    <w:rsid w:val="008747D9"/>
    <w:rsid w:val="008768EA"/>
    <w:rsid w:val="00877810"/>
    <w:rsid w:val="00881BF9"/>
    <w:rsid w:val="00885B85"/>
    <w:rsid w:val="00891734"/>
    <w:rsid w:val="00891BE0"/>
    <w:rsid w:val="00891FAC"/>
    <w:rsid w:val="00893386"/>
    <w:rsid w:val="00894B69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1F24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8225A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0B6D"/>
    <w:rsid w:val="00A4181B"/>
    <w:rsid w:val="00A4298E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2C"/>
    <w:rsid w:val="00AF17B2"/>
    <w:rsid w:val="00B14F1E"/>
    <w:rsid w:val="00B253BB"/>
    <w:rsid w:val="00B261B2"/>
    <w:rsid w:val="00B30F4B"/>
    <w:rsid w:val="00B3291F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44C2"/>
    <w:rsid w:val="00BE5C6D"/>
    <w:rsid w:val="00BE6018"/>
    <w:rsid w:val="00BE6A63"/>
    <w:rsid w:val="00BF0878"/>
    <w:rsid w:val="00BF26AB"/>
    <w:rsid w:val="00C072E7"/>
    <w:rsid w:val="00C113FB"/>
    <w:rsid w:val="00C132DA"/>
    <w:rsid w:val="00C15159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614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B7AA7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47D"/>
    <w:rsid w:val="00D33AF7"/>
    <w:rsid w:val="00D37377"/>
    <w:rsid w:val="00D45EFD"/>
    <w:rsid w:val="00D5020B"/>
    <w:rsid w:val="00D53579"/>
    <w:rsid w:val="00D575E1"/>
    <w:rsid w:val="00D67605"/>
    <w:rsid w:val="00D7612B"/>
    <w:rsid w:val="00D76595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1886"/>
    <w:rsid w:val="00E461F8"/>
    <w:rsid w:val="00E541D7"/>
    <w:rsid w:val="00E6046F"/>
    <w:rsid w:val="00E61CCA"/>
    <w:rsid w:val="00E821AD"/>
    <w:rsid w:val="00EA0745"/>
    <w:rsid w:val="00EA2B9E"/>
    <w:rsid w:val="00EA6676"/>
    <w:rsid w:val="00EB2C6C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31C76"/>
    <w:rsid w:val="00F415A9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541F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uiPriority w:val="99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3">
    <w:name w:val="s3"/>
    <w:rsid w:val="0042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uiPriority w:val="99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3">
    <w:name w:val="s3"/>
    <w:rsid w:val="0042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2016-12-16T07:05:00Z</cp:lastPrinted>
  <dcterms:created xsi:type="dcterms:W3CDTF">2016-12-16T07:05:00Z</dcterms:created>
  <dcterms:modified xsi:type="dcterms:W3CDTF">2016-12-16T07:05:00Z</dcterms:modified>
</cp:coreProperties>
</file>